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07" w:rsidRDefault="00FB4207" w:rsidP="00FB4207">
      <w:pPr>
        <w:widowControl/>
        <w:spacing w:line="300" w:lineRule="exact"/>
        <w:ind w:left="617" w:hangingChars="257" w:hanging="617"/>
        <w:jc w:val="left"/>
        <w:rPr>
          <w:rFonts w:ascii="ＭＳ ゴシック" w:eastAsia="ＭＳ ゴシック" w:hAnsi="ＭＳ ゴシック"/>
          <w:sz w:val="24"/>
        </w:rPr>
      </w:pPr>
    </w:p>
    <w:tbl>
      <w:tblPr>
        <w:tblW w:w="103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AB2A51">
        <w:trPr>
          <w:trHeight w:val="398"/>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AB2A51">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AB2A51">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49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6920E0" w:rsidRPr="00C35FF6" w:rsidTr="00AB2A51">
        <w:tc>
          <w:tcPr>
            <w:tcW w:w="10490" w:type="dxa"/>
            <w:tcBorders>
              <w:top w:val="single" w:sz="4" w:space="0" w:color="000000"/>
              <w:left w:val="single" w:sz="4" w:space="0" w:color="000000"/>
              <w:bottom w:val="single" w:sz="4" w:space="0" w:color="000000"/>
              <w:right w:val="single" w:sz="4" w:space="0" w:color="000000"/>
            </w:tcBorders>
          </w:tcPr>
          <w:p w:rsidR="006920E0" w:rsidRPr="00AB2A51"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sidR="00865DB8">
              <w:rPr>
                <w:rFonts w:ascii="ＭＳ ゴシック" w:eastAsia="ＭＳ ゴシック" w:hAnsi="ＭＳ ゴシック" w:cs="ＭＳ ゴシック" w:hint="eastAsia"/>
                <w:color w:val="000000"/>
                <w:kern w:val="0"/>
                <w:szCs w:val="21"/>
              </w:rPr>
              <w:t>）</w:t>
            </w:r>
          </w:p>
          <w:p w:rsidR="006920E0" w:rsidRPr="00865DB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04E0E">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65DB8">
              <w:rPr>
                <w:rFonts w:ascii="ＭＳ ゴシック" w:eastAsia="ＭＳ ゴシック" w:hAnsi="ＭＳ ゴシック" w:cs="ＭＳ ゴシック" w:hint="eastAsia"/>
                <w:color w:val="000000"/>
                <w:kern w:val="0"/>
                <w:szCs w:val="21"/>
              </w:rPr>
              <w:t>多賀城市長</w:t>
            </w:r>
            <w:r w:rsidR="005703A7">
              <w:rPr>
                <w:rFonts w:ascii="ＭＳ ゴシック" w:eastAsia="ＭＳ ゴシック" w:hAnsi="ＭＳ ゴシック" w:cs="ＭＳ ゴシック" w:hint="eastAsia"/>
                <w:color w:val="000000"/>
                <w:kern w:val="0"/>
                <w:szCs w:val="21"/>
              </w:rPr>
              <w:t xml:space="preserve">　深谷　晃祐</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D37D67"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65DB8">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D37D67">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r w:rsidR="0085537E" w:rsidRPr="00C35FF6" w:rsidTr="00AB2A51">
        <w:trPr>
          <w:trHeight w:val="77"/>
        </w:trPr>
        <w:tc>
          <w:tcPr>
            <w:tcW w:w="10490" w:type="dxa"/>
            <w:tcBorders>
              <w:top w:val="single" w:sz="4" w:space="0" w:color="000000"/>
              <w:left w:val="single" w:sz="4" w:space="0" w:color="000000"/>
              <w:bottom w:val="single" w:sz="4" w:space="0" w:color="000000"/>
              <w:right w:val="single" w:sz="4" w:space="0" w:color="000000"/>
            </w:tcBorders>
          </w:tcPr>
          <w:p w:rsidR="0085537E" w:rsidRPr="000F5C01" w:rsidRDefault="00061738" w:rsidP="00B65BA5">
            <w:pPr>
              <w:suppressAutoHyphens/>
              <w:kinsoku w:val="0"/>
              <w:wordWrap w:val="0"/>
              <w:overflowPunct w:val="0"/>
              <w:autoSpaceDE w:val="0"/>
              <w:autoSpaceDN w:val="0"/>
              <w:adjustRightInd w:val="0"/>
              <w:spacing w:line="274" w:lineRule="atLeast"/>
              <w:ind w:firstLineChars="3000" w:firstLine="7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産業</w:t>
            </w:r>
            <w:r w:rsidR="0085537E" w:rsidRPr="000F5C01">
              <w:rPr>
                <w:rFonts w:ascii="ＭＳ ゴシック" w:eastAsia="ＭＳ ゴシック" w:hAnsi="ＭＳ ゴシック" w:hint="eastAsia"/>
                <w:color w:val="000000"/>
                <w:spacing w:val="16"/>
                <w:kern w:val="0"/>
              </w:rPr>
              <w:t xml:space="preserve">第　　　　　　　号 </w:t>
            </w:r>
          </w:p>
          <w:p w:rsidR="0085537E" w:rsidRPr="000F5C01" w:rsidRDefault="0085537E" w:rsidP="00B65BA5">
            <w:pPr>
              <w:suppressAutoHyphens/>
              <w:kinsoku w:val="0"/>
              <w:wordWrap w:val="0"/>
              <w:overflowPunct w:val="0"/>
              <w:autoSpaceDE w:val="0"/>
              <w:autoSpaceDN w:val="0"/>
              <w:adjustRightInd w:val="0"/>
              <w:spacing w:line="274" w:lineRule="atLeast"/>
              <w:ind w:firstLineChars="3000" w:firstLine="7260"/>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 xml:space="preserve">令和　　年　　月　　日 </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申請のとおり、相違ないことを認定します。</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（本認定書の有効期間：令和　年　月　日から令和　年　月　日まで）</w:t>
            </w:r>
          </w:p>
          <w:p w:rsidR="0085537E" w:rsidRDefault="0085537E" w:rsidP="00B65BA5">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p>
          <w:p w:rsidR="0085537E" w:rsidRPr="000F5C01" w:rsidRDefault="0085537E" w:rsidP="00B65BA5">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 xml:space="preserve">    </w:t>
            </w:r>
            <w:r w:rsidRPr="000F5C01">
              <w:rPr>
                <w:rFonts w:ascii="ＭＳ ゴシック" w:eastAsia="ＭＳ ゴシック" w:hAnsi="ＭＳ ゴシック"/>
                <w:color w:val="000000"/>
                <w:spacing w:val="16"/>
                <w:kern w:val="0"/>
              </w:rPr>
              <w:t xml:space="preserve">       </w:t>
            </w:r>
            <w:r w:rsidRPr="000F5C01">
              <w:rPr>
                <w:rFonts w:ascii="ＭＳ ゴシック" w:eastAsia="ＭＳ ゴシック" w:hAnsi="ＭＳ ゴシック" w:hint="eastAsia"/>
                <w:color w:val="000000"/>
                <w:spacing w:val="16"/>
                <w:kern w:val="0"/>
              </w:rPr>
              <w:t xml:space="preserve">     </w:t>
            </w:r>
            <w:r w:rsidR="005703A7">
              <w:rPr>
                <w:rFonts w:ascii="ＭＳ ゴシック" w:eastAsia="ＭＳ ゴシック" w:hAnsi="ＭＳ ゴシック" w:hint="eastAsia"/>
                <w:color w:val="000000"/>
                <w:kern w:val="0"/>
              </w:rPr>
              <w:t>多賀城市長　深谷　晃祐</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5537E" w:rsidRPr="0085537E"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920E0" w:rsidRPr="0085537E"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p w:rsidR="006920E0" w:rsidRPr="00235279" w:rsidRDefault="00865DB8"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1312" behindDoc="0" locked="0" layoutInCell="1" allowOverlap="1" wp14:anchorId="7BF34960" wp14:editId="3F52EE99">
                <wp:simplePos x="0" y="0"/>
                <wp:positionH relativeFrom="margin">
                  <wp:align>center</wp:align>
                </wp:positionH>
                <wp:positionV relativeFrom="paragraph">
                  <wp:posOffset>-8890</wp:posOffset>
                </wp:positionV>
                <wp:extent cx="6557645" cy="15481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309AB" w:rsidRDefault="00A309AB"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A309AB" w:rsidRDefault="00A309AB"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A309AB" w:rsidRPr="00C35FF6" w:rsidRDefault="00A309AB"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A309AB" w:rsidRPr="00C35FF6" w:rsidRDefault="00A309AB"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6920E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309AB" w:rsidRPr="00EF5389" w:rsidRDefault="00A309AB"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34960" id="_x0000_t202" coordsize="21600,21600" o:spt="202" path="m,l,21600r21600,l21600,xe">
                <v:stroke joinstyle="miter"/>
                <v:path gradientshapeok="t" o:connecttype="rect"/>
              </v:shapetype>
              <v:shape id="Text Box 3" o:spid="_x0000_s1026" type="#_x0000_t202" style="position:absolute;left:0;text-align:left;margin-left:0;margin-top:-.7pt;width:516.35pt;height:121.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" filled="f" stroked="f" strokecolor="white">
                <v:textbox>
                  <w:txbxContent>
                    <w:p w:rsidR="00A309AB" w:rsidRDefault="00A309AB"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A309AB" w:rsidRDefault="00A309AB"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A309AB" w:rsidRPr="00C35FF6" w:rsidRDefault="00A309AB"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A309AB" w:rsidRPr="00C35FF6" w:rsidRDefault="00A309AB"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6920E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309AB" w:rsidRPr="00EF5389" w:rsidRDefault="00A309AB"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w10:wrap anchorx="margin"/>
              </v:shape>
            </w:pict>
          </mc:Fallback>
        </mc:AlternateConten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281C196"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Default="006920E0" w:rsidP="00FB4207">
      <w:pPr>
        <w:widowControl/>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D218B2" w:rsidRPr="00934F1B" w:rsidRDefault="00D218B2" w:rsidP="00061738">
      <w:pPr>
        <w:suppressAutoHyphens/>
        <w:kinsoku w:val="0"/>
        <w:wordWrap w:val="0"/>
        <w:overflowPunct w:val="0"/>
        <w:autoSpaceDE w:val="0"/>
        <w:autoSpaceDN w:val="0"/>
        <w:adjustRightInd w:val="0"/>
        <w:spacing w:line="320" w:lineRule="exact"/>
        <w:ind w:leftChars="-66" w:left="714" w:right="1470" w:hangingChars="406" w:hanging="853"/>
        <w:jc w:val="right"/>
        <w:textAlignment w:val="baseline"/>
        <w:rPr>
          <w:rFonts w:ascii="ＭＳ ゴシック" w:eastAsia="ＭＳ ゴシック" w:hAnsi="ＭＳ ゴシック" w:cs="ＭＳ ゴシック" w:hint="eastAsia"/>
          <w:color w:val="000000"/>
          <w:kern w:val="0"/>
          <w:szCs w:val="21"/>
        </w:rPr>
        <w:sectPr w:rsidR="00D218B2" w:rsidRPr="00934F1B" w:rsidSect="0085537E">
          <w:pgSz w:w="11906" w:h="16838"/>
          <w:pgMar w:top="340" w:right="1134" w:bottom="340" w:left="1134" w:header="851" w:footer="737" w:gutter="0"/>
          <w:cols w:space="425"/>
          <w:docGrid w:linePitch="360"/>
        </w:sectPr>
      </w:pPr>
      <w:bookmarkStart w:id="0" w:name="_GoBack"/>
      <w:bookmarkEnd w:id="0"/>
    </w:p>
    <w:p w:rsidR="00FB4207" w:rsidRDefault="00FB4207" w:rsidP="00A66DA0">
      <w:pPr>
        <w:rPr>
          <w:rFonts w:hint="eastAsia"/>
        </w:rPr>
      </w:pPr>
    </w:p>
    <w:sectPr w:rsidR="00FB4207"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87" w:rsidRDefault="00C52F87" w:rsidP="001D602D">
      <w:r>
        <w:separator/>
      </w:r>
    </w:p>
  </w:endnote>
  <w:endnote w:type="continuationSeparator" w:id="0">
    <w:p w:rsidR="00C52F87" w:rsidRDefault="00C52F8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87" w:rsidRDefault="00C52F87" w:rsidP="001D602D">
      <w:r>
        <w:separator/>
      </w:r>
    </w:p>
  </w:footnote>
  <w:footnote w:type="continuationSeparator" w:id="0">
    <w:p w:rsidR="00C52F87" w:rsidRDefault="00C52F87"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1206BB"/>
    <w:multiLevelType w:val="hybridMultilevel"/>
    <w:tmpl w:val="4FA4A4D0"/>
    <w:lvl w:ilvl="0" w:tplc="A48AEE6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1738"/>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6189"/>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C4711"/>
    <w:rsid w:val="004D1541"/>
    <w:rsid w:val="004D1C76"/>
    <w:rsid w:val="004E2DC9"/>
    <w:rsid w:val="004F6B3A"/>
    <w:rsid w:val="00543817"/>
    <w:rsid w:val="0055281C"/>
    <w:rsid w:val="00566A5A"/>
    <w:rsid w:val="005703A7"/>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37E"/>
    <w:rsid w:val="00855940"/>
    <w:rsid w:val="008648AC"/>
    <w:rsid w:val="00865DB8"/>
    <w:rsid w:val="0088474C"/>
    <w:rsid w:val="00890070"/>
    <w:rsid w:val="00894638"/>
    <w:rsid w:val="008A025E"/>
    <w:rsid w:val="008A06A7"/>
    <w:rsid w:val="008B6590"/>
    <w:rsid w:val="009271A1"/>
    <w:rsid w:val="00932D86"/>
    <w:rsid w:val="00934F1B"/>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66DA0"/>
    <w:rsid w:val="00A830D4"/>
    <w:rsid w:val="00A84F0E"/>
    <w:rsid w:val="00AB2A51"/>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52F87"/>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37D67"/>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04E0E"/>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D93B-4A1B-4631-B0B0-FA618C3D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EB5D34F6.dotm</Template>
  <TotalTime>0</TotalTime>
  <Pages>3</Pages>
  <Words>255</Words>
  <Characters>1456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内海 颯</cp:lastModifiedBy>
  <cp:revision>2</cp:revision>
  <cp:lastPrinted>2022-06-14T08:40:00Z</cp:lastPrinted>
  <dcterms:created xsi:type="dcterms:W3CDTF">2022-06-14T08:41:00Z</dcterms:created>
  <dcterms:modified xsi:type="dcterms:W3CDTF">2022-06-14T08:41:00Z</dcterms:modified>
</cp:coreProperties>
</file>